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B455A" w14:textId="5462A291" w:rsidR="00D70557" w:rsidRPr="00D70557" w:rsidRDefault="003821C5" w:rsidP="00D70557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FF0000"/>
          <w:kern w:val="0"/>
          <w:sz w:val="36"/>
          <w:szCs w:val="36"/>
          <w14:ligatures w14:val="none"/>
        </w:rPr>
      </w:pPr>
      <w:r>
        <w:rPr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3F958FE6" wp14:editId="6C6DFB8F">
            <wp:simplePos x="0" y="0"/>
            <wp:positionH relativeFrom="column">
              <wp:posOffset>6066946</wp:posOffset>
            </wp:positionH>
            <wp:positionV relativeFrom="paragraph">
              <wp:posOffset>-30636</wp:posOffset>
            </wp:positionV>
            <wp:extent cx="670941" cy="822960"/>
            <wp:effectExtent l="0" t="0" r="0" b="0"/>
            <wp:wrapNone/>
            <wp:docPr id="1816150374" name="Picture 1" descr="Logo, company n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150374" name="Picture 1" descr="Logo, company nam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941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557" w:rsidRPr="00D70557">
        <w:rPr>
          <w:rFonts w:ascii="Arial" w:eastAsia="Times New Roman" w:hAnsi="Arial" w:cs="Arial"/>
          <w:b/>
          <w:color w:val="FF0000"/>
          <w:kern w:val="0"/>
          <w:sz w:val="36"/>
          <w:szCs w:val="36"/>
          <w14:ligatures w14:val="none"/>
        </w:rPr>
        <w:t>Fuels and Fire Behavior Advisory</w:t>
      </w:r>
    </w:p>
    <w:p w14:paraId="6654D4D9" w14:textId="6F1D924F" w:rsidR="00D70557" w:rsidRPr="00D70557" w:rsidRDefault="00200271" w:rsidP="00D70557">
      <w:pPr>
        <w:spacing w:after="0" w:line="240" w:lineRule="auto"/>
        <w:ind w:right="-30"/>
        <w:jc w:val="center"/>
        <w:rPr>
          <w:rFonts w:ascii="Arial" w:eastAsia="Times New Roman" w:hAnsi="Arial" w:cs="Arial"/>
          <w:b/>
          <w:bCs/>
          <w:i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i/>
          <w:kern w:val="0"/>
          <w:sz w:val="28"/>
          <w:szCs w:val="28"/>
          <w14:ligatures w14:val="none"/>
        </w:rPr>
        <w:t>Area of Interest</w:t>
      </w:r>
    </w:p>
    <w:p w14:paraId="5F767ED8" w14:textId="20EF0A1E" w:rsidR="00D70557" w:rsidRPr="00D70557" w:rsidRDefault="00200271" w:rsidP="00D70557">
      <w:pPr>
        <w:spacing w:after="0" w:line="240" w:lineRule="auto"/>
        <w:ind w:right="-30"/>
        <w:jc w:val="center"/>
        <w:rPr>
          <w:rFonts w:ascii="Arial" w:eastAsia="Times New Roman" w:hAnsi="Arial" w:cs="Arial"/>
          <w:bCs/>
          <w:i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Cs/>
          <w:i/>
          <w:color w:val="000000"/>
          <w:kern w:val="0"/>
          <w14:ligatures w14:val="none"/>
        </w:rPr>
        <w:t>Date Advisory Takes Effect</w:t>
      </w:r>
    </w:p>
    <w:p w14:paraId="5FED0187" w14:textId="2EC63572" w:rsidR="00D70557" w:rsidRPr="00D70557" w:rsidRDefault="00D70557" w:rsidP="00D70557">
      <w:pPr>
        <w:spacing w:after="0" w:line="240" w:lineRule="auto"/>
        <w:rPr>
          <w:rFonts w:ascii="Arial" w:eastAsia="Times New Roman" w:hAnsi="Arial" w:cs="Arial"/>
          <w:bCs/>
          <w:color w:val="000000"/>
          <w:kern w:val="0"/>
          <w:sz w:val="22"/>
          <w:szCs w:val="22"/>
          <w14:ligatures w14:val="none"/>
        </w:rPr>
      </w:pPr>
    </w:p>
    <w:p w14:paraId="226088D0" w14:textId="50231B4F" w:rsidR="00D70557" w:rsidRPr="00D70557" w:rsidRDefault="00D70557" w:rsidP="00D70557">
      <w:pPr>
        <w:spacing w:after="0" w:line="240" w:lineRule="auto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  <w:r w:rsidRPr="00D70557">
        <w:rPr>
          <w:rFonts w:ascii="Arial" w:eastAsia="Times New Roman" w:hAnsi="Arial" w:cs="Arial"/>
          <w:b/>
          <w:color w:val="FF0000"/>
          <w:kern w:val="0"/>
          <w14:ligatures w14:val="none"/>
        </w:rPr>
        <w:t>Subject</w:t>
      </w:r>
      <w:r w:rsidRPr="00D70557">
        <w:rPr>
          <w:rFonts w:ascii="Arial" w:eastAsia="Times New Roman" w:hAnsi="Arial" w:cs="Arial"/>
          <w:b/>
          <w:bCs/>
          <w:color w:val="FF0000"/>
          <w:kern w:val="0"/>
          <w14:ligatures w14:val="none"/>
        </w:rPr>
        <w:t>:</w:t>
      </w:r>
      <w:r w:rsidRPr="00D70557">
        <w:rPr>
          <w:rFonts w:ascii="Arial" w:eastAsia="Times New Roman" w:hAnsi="Arial" w:cs="Arial"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="00C66C84">
        <w:rPr>
          <w:rFonts w:ascii="Arial" w:eastAsia="Times New Roman" w:hAnsi="Arial" w:cs="Arial"/>
          <w:bCs/>
          <w:color w:val="000000"/>
          <w:kern w:val="0"/>
          <w:sz w:val="22"/>
          <w:szCs w:val="22"/>
          <w14:ligatures w14:val="none"/>
        </w:rPr>
        <w:t>A brief synopsis of the condition(s) present that warrant the Advisory (should be no more than one or two sentences)</w:t>
      </w:r>
      <w:r w:rsidRPr="00D70557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.</w:t>
      </w:r>
    </w:p>
    <w:p w14:paraId="6C6D5533" w14:textId="71C6402F" w:rsidR="00D70557" w:rsidRPr="00D70557" w:rsidRDefault="00D70557" w:rsidP="00D70557">
      <w:pPr>
        <w:spacing w:after="0" w:line="240" w:lineRule="auto"/>
        <w:rPr>
          <w:rFonts w:ascii="Arial" w:eastAsia="Times New Roman" w:hAnsi="Arial" w:cs="Arial"/>
          <w:bCs/>
          <w:color w:val="000000"/>
          <w:kern w:val="0"/>
          <w:sz w:val="22"/>
          <w:szCs w:val="22"/>
          <w14:ligatures w14:val="none"/>
        </w:rPr>
      </w:pPr>
    </w:p>
    <w:p w14:paraId="396A63DD" w14:textId="194E1C15" w:rsidR="00D70557" w:rsidRPr="00D70557" w:rsidRDefault="00D70557" w:rsidP="00D70557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  <w:r w:rsidRPr="00D70557">
        <w:rPr>
          <w:rFonts w:ascii="Arial" w:eastAsia="Times New Roman" w:hAnsi="Arial" w:cs="Arial"/>
          <w:b/>
          <w:color w:val="FF0000"/>
          <w:kern w:val="0"/>
          <w14:ligatures w14:val="none"/>
        </w:rPr>
        <w:t>Discussion:</w:t>
      </w:r>
      <w:r w:rsidRPr="00D70557">
        <w:rPr>
          <w:rFonts w:ascii="Arial" w:eastAsia="Times New Roman" w:hAnsi="Arial" w:cs="Arial"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="001D3629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Detailed description of the condition(s), which may include graphics</w:t>
      </w:r>
      <w:r w:rsidR="006A6E12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 xml:space="preserve"> to illustrate points.</w:t>
      </w:r>
      <w:r w:rsidR="00C3689F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 xml:space="preserve"> K</w:t>
      </w:r>
      <w:r w:rsidR="00954470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 xml:space="preserve">ey information </w:t>
      </w:r>
      <w:r w:rsidR="00C3689F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must be</w:t>
      </w:r>
      <w:r w:rsidR="00954470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 xml:space="preserve"> fully describe</w:t>
      </w:r>
      <w:r w:rsidR="00663974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d in this section’s narrative, any supporting graphics can be pushed to page 2 if needed</w:t>
      </w:r>
      <w:r w:rsidRPr="00D70557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.</w:t>
      </w:r>
    </w:p>
    <w:p w14:paraId="4185E323" w14:textId="777F8EEA" w:rsidR="00D70557" w:rsidRPr="00D70557" w:rsidRDefault="00D70557" w:rsidP="00D70557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</w:p>
    <w:p w14:paraId="486784FD" w14:textId="2610C59A" w:rsidR="00D70557" w:rsidRPr="00D70557" w:rsidRDefault="00D70557" w:rsidP="00D70557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  <w:r w:rsidRPr="00D70557">
        <w:rPr>
          <w:rFonts w:ascii="Arial" w:eastAsia="Times New Roman" w:hAnsi="Arial" w:cs="Arial"/>
          <w:b/>
          <w:color w:val="FF0000"/>
          <w:kern w:val="0"/>
          <w14:ligatures w14:val="none"/>
        </w:rPr>
        <w:t xml:space="preserve">Difference from </w:t>
      </w:r>
      <w:r w:rsidR="006F4BED">
        <w:rPr>
          <w:rFonts w:ascii="Arial" w:eastAsia="Times New Roman" w:hAnsi="Arial" w:cs="Arial"/>
          <w:b/>
          <w:color w:val="FF0000"/>
          <w:kern w:val="0"/>
          <w14:ligatures w14:val="none"/>
        </w:rPr>
        <w:t>N</w:t>
      </w:r>
      <w:r w:rsidRPr="00D70557">
        <w:rPr>
          <w:rFonts w:ascii="Arial" w:eastAsia="Times New Roman" w:hAnsi="Arial" w:cs="Arial"/>
          <w:b/>
          <w:color w:val="FF0000"/>
          <w:kern w:val="0"/>
          <w14:ligatures w14:val="none"/>
        </w:rPr>
        <w:t xml:space="preserve">ormal </w:t>
      </w:r>
      <w:r w:rsidR="006F4BED">
        <w:rPr>
          <w:rFonts w:ascii="Arial" w:eastAsia="Times New Roman" w:hAnsi="Arial" w:cs="Arial"/>
          <w:b/>
          <w:color w:val="FF0000"/>
          <w:kern w:val="0"/>
          <w14:ligatures w14:val="none"/>
        </w:rPr>
        <w:t>C</w:t>
      </w:r>
      <w:r w:rsidRPr="00D70557">
        <w:rPr>
          <w:rFonts w:ascii="Arial" w:eastAsia="Times New Roman" w:hAnsi="Arial" w:cs="Arial"/>
          <w:b/>
          <w:color w:val="FF0000"/>
          <w:kern w:val="0"/>
          <w14:ligatures w14:val="none"/>
        </w:rPr>
        <w:t>onditions:</w:t>
      </w:r>
      <w:r w:rsidRPr="00D70557">
        <w:rPr>
          <w:rFonts w:ascii="Arial" w:eastAsia="Times New Roman" w:hAnsi="Arial" w:cs="Arial"/>
          <w:b/>
          <w:color w:val="FF0000"/>
          <w:kern w:val="0"/>
          <w:sz w:val="22"/>
          <w:szCs w:val="22"/>
          <w14:ligatures w14:val="none"/>
        </w:rPr>
        <w:t xml:space="preserve"> </w:t>
      </w:r>
      <w:r w:rsidR="0093641D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 xml:space="preserve">In specific, measurable terms, how </w:t>
      </w:r>
      <w:r w:rsidR="005952ED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are</w:t>
      </w:r>
      <w:r w:rsidR="0093641D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 xml:space="preserve"> the</w:t>
      </w:r>
      <w:r w:rsidR="005952ED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se</w:t>
      </w:r>
      <w:r w:rsidR="0093641D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 xml:space="preserve"> condition(s) </w:t>
      </w:r>
      <w:r w:rsidR="00F612FB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exceptional or extreme compared to normal for the time of year</w:t>
      </w:r>
      <w:r w:rsidR="00294752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 xml:space="preserve">? It may be helpful to compare the current conditions with outcomes from </w:t>
      </w:r>
      <w:r w:rsidR="00E716BB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prior, similar</w:t>
      </w:r>
      <w:r w:rsidR="00F612FB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 xml:space="preserve"> extreme fire seasons</w:t>
      </w:r>
      <w:r w:rsidR="00E716BB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.</w:t>
      </w:r>
    </w:p>
    <w:p w14:paraId="4665BE7E" w14:textId="69C92CA0" w:rsidR="00D70557" w:rsidRPr="00D70557" w:rsidRDefault="00D70557" w:rsidP="00D70557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</w:p>
    <w:p w14:paraId="4849C6C8" w14:textId="094CF588" w:rsidR="00D70557" w:rsidRPr="00D70557" w:rsidRDefault="00D70557" w:rsidP="00D70557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D70557">
        <w:rPr>
          <w:rFonts w:ascii="Arial" w:eastAsia="Times New Roman" w:hAnsi="Arial" w:cs="Arial"/>
          <w:b/>
          <w:bCs/>
          <w:color w:val="FF0000"/>
          <w:kern w:val="0"/>
          <w14:ligatures w14:val="none"/>
        </w:rPr>
        <w:t>Concerns to Firefighters and the Public:</w:t>
      </w:r>
      <w:r w:rsidR="00F612FB" w:rsidRPr="00F612FB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 xml:space="preserve"> </w:t>
      </w:r>
      <w:r w:rsidR="00F612FB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Specific ci</w:t>
      </w:r>
      <w:r w:rsidR="002F29A9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rcumstance</w:t>
      </w:r>
      <w:r w:rsidR="003C4F0A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s</w:t>
      </w:r>
      <w:r w:rsidR="002F29A9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 xml:space="preserve"> that are likely to result from the Advisory conditions. May include bullets:</w:t>
      </w:r>
    </w:p>
    <w:p w14:paraId="49CC0499" w14:textId="5DA314D2" w:rsidR="00D70557" w:rsidRPr="00D70557" w:rsidRDefault="00D70557" w:rsidP="00E716BB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D7055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xx. </w:t>
      </w:r>
    </w:p>
    <w:p w14:paraId="32D949A9" w14:textId="77777777" w:rsidR="00D70557" w:rsidRPr="00D70557" w:rsidRDefault="00D70557" w:rsidP="00D7055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2"/>
          <w:szCs w:val="22"/>
          <w14:ligatures w14:val="none"/>
        </w:rPr>
      </w:pPr>
    </w:p>
    <w:p w14:paraId="54EB9755" w14:textId="4756E578" w:rsidR="00D70557" w:rsidRPr="00D70557" w:rsidRDefault="00D70557" w:rsidP="00D70557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D70557">
        <w:rPr>
          <w:rFonts w:ascii="Arial" w:eastAsia="Times New Roman" w:hAnsi="Arial" w:cs="Arial"/>
          <w:b/>
          <w:bCs/>
          <w:color w:val="FF0000"/>
          <w:kern w:val="0"/>
          <w14:ligatures w14:val="none"/>
        </w:rPr>
        <w:t>Mitigation Measures:</w:t>
      </w:r>
      <w:r w:rsidR="006934E2" w:rsidRPr="006934E2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 xml:space="preserve"> </w:t>
      </w:r>
      <w:r w:rsidR="006934E2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How firefighters and fire managers should be prepared to deal with each of the specific circumstances</w:t>
      </w:r>
      <w:r w:rsidR="002A71AE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 xml:space="preserve"> listed</w:t>
      </w:r>
      <w:r w:rsidR="006934E2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 xml:space="preserve"> above</w:t>
      </w:r>
      <w:r w:rsidR="002A71AE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. May include bullets:</w:t>
      </w:r>
    </w:p>
    <w:p w14:paraId="077F4B3D" w14:textId="7209E87A" w:rsidR="00D70557" w:rsidRPr="00D70557" w:rsidRDefault="00D70557" w:rsidP="00E716BB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D70557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xx. </w:t>
      </w:r>
    </w:p>
    <w:p w14:paraId="39761E21" w14:textId="77777777" w:rsidR="00D70557" w:rsidRPr="00D70557" w:rsidRDefault="00D70557" w:rsidP="00D70557">
      <w:pPr>
        <w:spacing w:after="0" w:line="240" w:lineRule="auto"/>
        <w:rPr>
          <w:rFonts w:ascii="Arial" w:eastAsia="Times New Roman" w:hAnsi="Arial" w:cs="Arial"/>
          <w:bCs/>
          <w:color w:val="000000"/>
          <w:kern w:val="0"/>
          <w:sz w:val="22"/>
          <w:szCs w:val="22"/>
          <w14:ligatures w14:val="none"/>
        </w:rPr>
      </w:pPr>
    </w:p>
    <w:p w14:paraId="0355AF34" w14:textId="0009299B" w:rsidR="00F64FBE" w:rsidRPr="00D70557" w:rsidRDefault="00D70557" w:rsidP="00D70557">
      <w:pPr>
        <w:spacing w:after="0" w:line="240" w:lineRule="auto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  <w:r w:rsidRPr="00D70557">
        <w:rPr>
          <w:rFonts w:ascii="Arial" w:eastAsia="Times New Roman" w:hAnsi="Arial" w:cs="Arial"/>
          <w:b/>
          <w:color w:val="FF0000"/>
          <w:kern w:val="0"/>
          <w14:ligatures w14:val="none"/>
        </w:rPr>
        <w:t>Area of Concern:</w:t>
      </w:r>
      <w:r w:rsidRPr="00D70557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 xml:space="preserve"> </w:t>
      </w:r>
      <w:r w:rsidR="002A71AE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Detailed description of the area of concern</w:t>
      </w:r>
      <w:r w:rsidR="009F2184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 xml:space="preserve">. </w:t>
      </w:r>
      <w:r w:rsidR="00322689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Include</w:t>
      </w:r>
      <w:r w:rsidR="00D30A5E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 xml:space="preserve"> </w:t>
      </w:r>
      <w:r w:rsidR="009F2184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 xml:space="preserve">a map image, which can be </w:t>
      </w:r>
      <w:r w:rsidR="002C2CF7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pushed to page 2 if needed</w:t>
      </w:r>
      <w:r w:rsidRPr="00D70557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.</w:t>
      </w:r>
    </w:p>
    <w:p w14:paraId="486106EC" w14:textId="69AAB16C" w:rsidR="00D70557" w:rsidRPr="00D70557" w:rsidRDefault="00D70557" w:rsidP="00D70557">
      <w:pPr>
        <w:spacing w:after="0" w:line="240" w:lineRule="auto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</w:p>
    <w:p w14:paraId="4D53590F" w14:textId="7A8DD002" w:rsidR="00D70557" w:rsidRPr="00D70557" w:rsidRDefault="00D70557" w:rsidP="00D70557">
      <w:pPr>
        <w:spacing w:after="0" w:line="240" w:lineRule="auto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  <w:r w:rsidRPr="00D70557">
        <w:rPr>
          <w:rFonts w:ascii="Arial" w:eastAsia="Times New Roman" w:hAnsi="Arial" w:cs="Arial"/>
          <w:b/>
          <w:color w:val="FF0000"/>
          <w:kern w:val="0"/>
          <w14:ligatures w14:val="none"/>
        </w:rPr>
        <w:t>Issued By:</w:t>
      </w:r>
      <w:r w:rsidRPr="00D70557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 xml:space="preserve"> </w:t>
      </w:r>
      <w:r w:rsidR="003E07C7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Name of issuing GACC(s)</w:t>
      </w:r>
      <w:r w:rsidR="008745A5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 xml:space="preserve"> and key partners (e.g. Decision Support Group, agencies</w:t>
      </w:r>
      <w:r w:rsidR="00840EEB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/units</w:t>
      </w:r>
      <w:r w:rsidR="00921021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, etc)</w:t>
      </w:r>
    </w:p>
    <w:p w14:paraId="32D4421C" w14:textId="77777777" w:rsidR="00DE55E8" w:rsidRDefault="00DE55E8" w:rsidP="00DE55E8">
      <w:pPr>
        <w:spacing w:after="0"/>
      </w:pPr>
    </w:p>
    <w:p w14:paraId="65AA328D" w14:textId="77777777" w:rsidR="00714EE3" w:rsidRDefault="00714EE3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225E16B6" w14:textId="4550FF5F" w:rsidR="00306F17" w:rsidRDefault="00FA5BA6" w:rsidP="008670BB">
      <w:pPr>
        <w:jc w:val="both"/>
      </w:pPr>
      <w:r>
        <w:rPr>
          <w:i/>
          <w:iCs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99CAC54" wp14:editId="2FFE646B">
            <wp:simplePos x="0" y="0"/>
            <wp:positionH relativeFrom="column">
              <wp:posOffset>6067796</wp:posOffset>
            </wp:positionH>
            <wp:positionV relativeFrom="paragraph">
              <wp:posOffset>348</wp:posOffset>
            </wp:positionV>
            <wp:extent cx="670941" cy="822960"/>
            <wp:effectExtent l="0" t="0" r="0" b="0"/>
            <wp:wrapTight wrapText="bothSides">
              <wp:wrapPolygon edited="0">
                <wp:start x="0" y="0"/>
                <wp:lineTo x="0" y="21000"/>
                <wp:lineTo x="20864" y="21000"/>
                <wp:lineTo x="20864" y="0"/>
                <wp:lineTo x="0" y="0"/>
              </wp:wrapPolygon>
            </wp:wrapTight>
            <wp:docPr id="1406494781" name="Picture 1" descr="Logo, company n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150374" name="Picture 1" descr="Logo, company nam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941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641">
        <w:t>Second page content, if any, should be supporting information only</w:t>
      </w:r>
      <w:r w:rsidR="00E94737">
        <w:t>. A</w:t>
      </w:r>
      <w:r w:rsidR="00470641">
        <w:t xml:space="preserve">ll essential information </w:t>
      </w:r>
      <w:r w:rsidR="00065238">
        <w:t>must be included in the narrative sections on the first page.</w:t>
      </w:r>
    </w:p>
    <w:p w14:paraId="585CE293" w14:textId="1004C74A" w:rsidR="00223A86" w:rsidRDefault="00223A86" w:rsidP="008670BB">
      <w:pPr>
        <w:jc w:val="both"/>
        <w:rPr>
          <w:i/>
          <w:iCs/>
        </w:rPr>
      </w:pPr>
      <w:r>
        <w:rPr>
          <w:b/>
          <w:bCs/>
          <w:i/>
          <w:iCs/>
        </w:rPr>
        <w:t>P</w:t>
      </w:r>
      <w:r w:rsidR="00B4318E" w:rsidRPr="00B2145A">
        <w:rPr>
          <w:b/>
          <w:bCs/>
          <w:i/>
          <w:iCs/>
        </w:rPr>
        <w:t xml:space="preserve">rotocols and </w:t>
      </w:r>
      <w:r>
        <w:rPr>
          <w:b/>
          <w:bCs/>
          <w:i/>
          <w:iCs/>
        </w:rPr>
        <w:t>tips</w:t>
      </w:r>
      <w:r w:rsidR="00B4318E" w:rsidRPr="00B2145A">
        <w:rPr>
          <w:b/>
          <w:bCs/>
          <w:i/>
          <w:iCs/>
        </w:rPr>
        <w:t>:</w:t>
      </w:r>
      <w:r w:rsidR="00B4318E" w:rsidRPr="00B2145A">
        <w:rPr>
          <w:i/>
          <w:iCs/>
        </w:rPr>
        <w:t xml:space="preserve"> </w:t>
      </w:r>
      <w:r w:rsidR="009849CC" w:rsidRPr="00B2145A">
        <w:rPr>
          <w:i/>
          <w:iCs/>
        </w:rPr>
        <w:t xml:space="preserve">Remove </w:t>
      </w:r>
      <w:r w:rsidR="00B2145A" w:rsidRPr="00B2145A">
        <w:rPr>
          <w:i/>
          <w:iCs/>
        </w:rPr>
        <w:t>this (italicized)</w:t>
      </w:r>
      <w:r w:rsidR="00B03FA0" w:rsidRPr="00B2145A">
        <w:rPr>
          <w:i/>
          <w:iCs/>
        </w:rPr>
        <w:t xml:space="preserve"> </w:t>
      </w:r>
      <w:r>
        <w:rPr>
          <w:i/>
          <w:iCs/>
        </w:rPr>
        <w:t>guidance</w:t>
      </w:r>
      <w:r w:rsidR="009849CC" w:rsidRPr="00B2145A">
        <w:rPr>
          <w:i/>
          <w:iCs/>
        </w:rPr>
        <w:t xml:space="preserve"> </w:t>
      </w:r>
      <w:r w:rsidR="00B03FA0" w:rsidRPr="00B2145A">
        <w:rPr>
          <w:i/>
          <w:iCs/>
        </w:rPr>
        <w:t>from the finished F&amp;FBA</w:t>
      </w:r>
      <w:r w:rsidR="006849A9" w:rsidRPr="00B2145A">
        <w:rPr>
          <w:i/>
          <w:iCs/>
        </w:rPr>
        <w:t>.</w:t>
      </w:r>
    </w:p>
    <w:p w14:paraId="07B90C48" w14:textId="60F1023F" w:rsidR="00EB32FC" w:rsidRDefault="0085606D" w:rsidP="008670BB">
      <w:pPr>
        <w:jc w:val="both"/>
        <w:rPr>
          <w:i/>
          <w:iCs/>
        </w:rPr>
      </w:pPr>
      <w:r>
        <w:rPr>
          <w:i/>
          <w:iCs/>
        </w:rPr>
        <w:t xml:space="preserve">The F&amp;FBA should only be issued to address exceptional or extreme circumstances that </w:t>
      </w:r>
      <w:r w:rsidR="00DF778D">
        <w:rPr>
          <w:i/>
          <w:iCs/>
        </w:rPr>
        <w:t>pose a</w:t>
      </w:r>
      <w:r w:rsidR="00B218D9">
        <w:rPr>
          <w:i/>
          <w:iCs/>
        </w:rPr>
        <w:t>n elevated</w:t>
      </w:r>
      <w:r w:rsidR="00DF778D">
        <w:rPr>
          <w:i/>
          <w:iCs/>
        </w:rPr>
        <w:t xml:space="preserve"> threat to firefighter or public safety. </w:t>
      </w:r>
      <w:r w:rsidR="00EB32FC">
        <w:rPr>
          <w:i/>
          <w:iCs/>
        </w:rPr>
        <w:t>A F&amp;FBA is</w:t>
      </w:r>
      <w:r w:rsidR="006628FC">
        <w:rPr>
          <w:i/>
          <w:iCs/>
        </w:rPr>
        <w:t xml:space="preserve"> generally</w:t>
      </w:r>
      <w:r w:rsidR="00EB32FC">
        <w:rPr>
          <w:i/>
          <w:iCs/>
        </w:rPr>
        <w:t xml:space="preserve"> </w:t>
      </w:r>
      <w:r w:rsidR="00EB32FC" w:rsidRPr="00821F62">
        <w:rPr>
          <w:i/>
          <w:iCs/>
          <w:u w:val="single"/>
        </w:rPr>
        <w:t>not</w:t>
      </w:r>
      <w:r w:rsidR="00EB32FC">
        <w:rPr>
          <w:i/>
          <w:iCs/>
        </w:rPr>
        <w:t xml:space="preserve"> warranted for:</w:t>
      </w:r>
    </w:p>
    <w:p w14:paraId="351CB26D" w14:textId="7DC040D4" w:rsidR="00821F62" w:rsidRDefault="00DF778D" w:rsidP="00EB32FC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 w:rsidRPr="00EB32FC">
        <w:rPr>
          <w:i/>
          <w:iCs/>
        </w:rPr>
        <w:t xml:space="preserve">Conditions that </w:t>
      </w:r>
      <w:r w:rsidR="000869A0">
        <w:rPr>
          <w:i/>
          <w:iCs/>
        </w:rPr>
        <w:t>are</w:t>
      </w:r>
      <w:r w:rsidRPr="00EB32FC">
        <w:rPr>
          <w:i/>
          <w:iCs/>
        </w:rPr>
        <w:t xml:space="preserve"> reasonably expected normally</w:t>
      </w:r>
      <w:r w:rsidR="00EB32FC">
        <w:rPr>
          <w:i/>
          <w:iCs/>
        </w:rPr>
        <w:t xml:space="preserve"> (e.g.</w:t>
      </w:r>
      <w:r w:rsidR="00F33806">
        <w:rPr>
          <w:i/>
          <w:iCs/>
        </w:rPr>
        <w:t xml:space="preserve"> seasonal </w:t>
      </w:r>
      <w:r w:rsidR="00457842">
        <w:rPr>
          <w:i/>
          <w:iCs/>
        </w:rPr>
        <w:t>trend</w:t>
      </w:r>
      <w:r w:rsidR="00324094">
        <w:rPr>
          <w:i/>
          <w:iCs/>
        </w:rPr>
        <w:t xml:space="preserve"> of</w:t>
      </w:r>
      <w:r w:rsidR="00325E7D">
        <w:rPr>
          <w:i/>
          <w:iCs/>
        </w:rPr>
        <w:t xml:space="preserve"> declining fuel moisture,</w:t>
      </w:r>
      <w:r w:rsidR="00EB32FC">
        <w:rPr>
          <w:i/>
          <w:iCs/>
        </w:rPr>
        <w:t xml:space="preserve"> rapid ROS </w:t>
      </w:r>
      <w:r w:rsidR="00821F62">
        <w:rPr>
          <w:i/>
          <w:iCs/>
        </w:rPr>
        <w:t>due to strong winds</w:t>
      </w:r>
      <w:r w:rsidR="00F33806">
        <w:rPr>
          <w:i/>
          <w:iCs/>
        </w:rPr>
        <w:t xml:space="preserve">; </w:t>
      </w:r>
      <w:r w:rsidR="002A6EFA">
        <w:rPr>
          <w:i/>
          <w:iCs/>
        </w:rPr>
        <w:t>intense</w:t>
      </w:r>
      <w:r w:rsidR="00F33806">
        <w:rPr>
          <w:i/>
          <w:iCs/>
        </w:rPr>
        <w:t xml:space="preserve"> </w:t>
      </w:r>
      <w:r w:rsidR="00155111">
        <w:rPr>
          <w:i/>
          <w:iCs/>
        </w:rPr>
        <w:t>burning</w:t>
      </w:r>
      <w:r w:rsidR="00F33806">
        <w:rPr>
          <w:i/>
          <w:iCs/>
        </w:rPr>
        <w:t xml:space="preserve"> </w:t>
      </w:r>
      <w:r w:rsidR="00026608">
        <w:rPr>
          <w:i/>
          <w:iCs/>
        </w:rPr>
        <w:t>i</w:t>
      </w:r>
      <w:r w:rsidR="00324094">
        <w:rPr>
          <w:i/>
          <w:iCs/>
        </w:rPr>
        <w:t>n</w:t>
      </w:r>
      <w:r w:rsidR="00026608">
        <w:rPr>
          <w:i/>
          <w:iCs/>
        </w:rPr>
        <w:t xml:space="preserve"> </w:t>
      </w:r>
      <w:r w:rsidR="00AA6E6F">
        <w:rPr>
          <w:i/>
          <w:iCs/>
        </w:rPr>
        <w:t xml:space="preserve">shrubs </w:t>
      </w:r>
      <w:r w:rsidR="00155111">
        <w:rPr>
          <w:i/>
          <w:iCs/>
        </w:rPr>
        <w:t>known for</w:t>
      </w:r>
      <w:r w:rsidR="00AA6E6F">
        <w:rPr>
          <w:i/>
          <w:iCs/>
        </w:rPr>
        <w:t xml:space="preserve"> </w:t>
      </w:r>
      <w:r w:rsidR="00026608">
        <w:rPr>
          <w:i/>
          <w:iCs/>
        </w:rPr>
        <w:t xml:space="preserve">volatile </w:t>
      </w:r>
      <w:r w:rsidR="002A6EFA">
        <w:rPr>
          <w:i/>
          <w:iCs/>
        </w:rPr>
        <w:t>foliage</w:t>
      </w:r>
      <w:r w:rsidR="00324094">
        <w:rPr>
          <w:i/>
          <w:iCs/>
        </w:rPr>
        <w:t>, etc</w:t>
      </w:r>
      <w:r w:rsidR="00821F62">
        <w:rPr>
          <w:i/>
          <w:iCs/>
        </w:rPr>
        <w:t>)</w:t>
      </w:r>
      <w:r w:rsidRPr="00EB32FC">
        <w:rPr>
          <w:i/>
          <w:iCs/>
        </w:rPr>
        <w:t xml:space="preserve">. </w:t>
      </w:r>
    </w:p>
    <w:p w14:paraId="77537582" w14:textId="17ED9E59" w:rsidR="00821F62" w:rsidRDefault="007B3E14" w:rsidP="00EB32FC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 xml:space="preserve">Elevated or even critical fuels conditions </w:t>
      </w:r>
      <w:r w:rsidR="00C03B2F">
        <w:rPr>
          <w:i/>
          <w:iCs/>
        </w:rPr>
        <w:t xml:space="preserve">in the absence of </w:t>
      </w:r>
      <w:r w:rsidR="004114B0">
        <w:rPr>
          <w:i/>
          <w:iCs/>
        </w:rPr>
        <w:t>fire</w:t>
      </w:r>
      <w:r w:rsidR="00C03B2F">
        <w:rPr>
          <w:i/>
          <w:iCs/>
        </w:rPr>
        <w:t xml:space="preserve">s, or low probability of </w:t>
      </w:r>
      <w:r w:rsidR="004114B0">
        <w:rPr>
          <w:i/>
          <w:iCs/>
        </w:rPr>
        <w:t>ignitions.</w:t>
      </w:r>
    </w:p>
    <w:p w14:paraId="4E7B708F" w14:textId="0CA79343" w:rsidR="00193774" w:rsidRDefault="00464918" w:rsidP="00821F62">
      <w:pPr>
        <w:ind w:left="360"/>
        <w:jc w:val="both"/>
        <w:rPr>
          <w:i/>
          <w:iCs/>
        </w:rPr>
      </w:pPr>
      <w:r>
        <w:rPr>
          <w:i/>
          <w:iCs/>
        </w:rPr>
        <w:t xml:space="preserve">Do not remove any of this template’s sections in red font </w:t>
      </w:r>
      <w:r w:rsidR="00A66642">
        <w:rPr>
          <w:i/>
          <w:iCs/>
        </w:rPr>
        <w:t xml:space="preserve">above </w:t>
      </w:r>
      <w:r>
        <w:rPr>
          <w:i/>
          <w:iCs/>
        </w:rPr>
        <w:t xml:space="preserve">or add any new sections. </w:t>
      </w:r>
      <w:r w:rsidR="00324AF8">
        <w:rPr>
          <w:i/>
          <w:iCs/>
        </w:rPr>
        <w:t>All e</w:t>
      </w:r>
      <w:r w:rsidR="00264387" w:rsidRPr="00821F62">
        <w:rPr>
          <w:i/>
          <w:iCs/>
        </w:rPr>
        <w:t xml:space="preserve">ssential </w:t>
      </w:r>
      <w:r w:rsidR="00CE1AB4" w:rsidRPr="00821F62">
        <w:rPr>
          <w:i/>
          <w:iCs/>
        </w:rPr>
        <w:t xml:space="preserve">narrative </w:t>
      </w:r>
      <w:r w:rsidR="00264387" w:rsidRPr="00821F62">
        <w:rPr>
          <w:i/>
          <w:iCs/>
        </w:rPr>
        <w:t xml:space="preserve">content (sections with </w:t>
      </w:r>
      <w:r w:rsidR="00D32B9F" w:rsidRPr="00821F62">
        <w:rPr>
          <w:i/>
          <w:iCs/>
        </w:rPr>
        <w:t xml:space="preserve">red </w:t>
      </w:r>
      <w:r w:rsidR="003F6DCC">
        <w:rPr>
          <w:i/>
          <w:iCs/>
        </w:rPr>
        <w:t>font</w:t>
      </w:r>
      <w:r w:rsidR="00D32B9F" w:rsidRPr="00821F62">
        <w:rPr>
          <w:i/>
          <w:iCs/>
        </w:rPr>
        <w:t xml:space="preserve"> above) must fit on a single </w:t>
      </w:r>
      <w:r w:rsidR="00A66642">
        <w:rPr>
          <w:i/>
          <w:iCs/>
        </w:rPr>
        <w:t xml:space="preserve">(first) </w:t>
      </w:r>
      <w:r w:rsidR="00D32B9F" w:rsidRPr="00821F62">
        <w:rPr>
          <w:i/>
          <w:iCs/>
        </w:rPr>
        <w:t xml:space="preserve">page; however, a second page </w:t>
      </w:r>
      <w:r w:rsidR="005156C0" w:rsidRPr="00821F62">
        <w:rPr>
          <w:i/>
          <w:iCs/>
        </w:rPr>
        <w:t>can be used</w:t>
      </w:r>
      <w:r w:rsidR="00081D2C">
        <w:rPr>
          <w:i/>
          <w:iCs/>
        </w:rPr>
        <w:t xml:space="preserve"> if needed</w:t>
      </w:r>
      <w:r w:rsidR="005156C0" w:rsidRPr="00821F62">
        <w:rPr>
          <w:i/>
          <w:iCs/>
        </w:rPr>
        <w:t xml:space="preserve"> for the map image, supporting charts, </w:t>
      </w:r>
      <w:r w:rsidR="004379B6">
        <w:rPr>
          <w:i/>
          <w:iCs/>
        </w:rPr>
        <w:t xml:space="preserve">illustrative </w:t>
      </w:r>
      <w:r w:rsidR="005156C0" w:rsidRPr="00821F62">
        <w:rPr>
          <w:i/>
          <w:iCs/>
        </w:rPr>
        <w:t>photos</w:t>
      </w:r>
      <w:r w:rsidR="004379B6">
        <w:rPr>
          <w:i/>
          <w:iCs/>
        </w:rPr>
        <w:t xml:space="preserve"> of fuel loading or fire behavior</w:t>
      </w:r>
      <w:r w:rsidR="005156C0" w:rsidRPr="00821F62">
        <w:rPr>
          <w:i/>
          <w:iCs/>
        </w:rPr>
        <w:t>, etc.</w:t>
      </w:r>
      <w:r w:rsidR="00564724">
        <w:rPr>
          <w:i/>
          <w:iCs/>
        </w:rPr>
        <w:t xml:space="preserve"> The F&amp;FBA can also include links to </w:t>
      </w:r>
      <w:r w:rsidR="00193774">
        <w:rPr>
          <w:i/>
          <w:iCs/>
        </w:rPr>
        <w:t xml:space="preserve">pertinent </w:t>
      </w:r>
      <w:r w:rsidR="009613E8">
        <w:rPr>
          <w:i/>
          <w:iCs/>
        </w:rPr>
        <w:t>ancillary information sources</w:t>
      </w:r>
      <w:r w:rsidR="00C25135">
        <w:rPr>
          <w:i/>
          <w:iCs/>
        </w:rPr>
        <w:t>.</w:t>
      </w:r>
    </w:p>
    <w:p w14:paraId="1444B6AF" w14:textId="271E53FC" w:rsidR="006849A9" w:rsidRDefault="008F477E" w:rsidP="00821F62">
      <w:pPr>
        <w:ind w:left="360"/>
        <w:jc w:val="both"/>
        <w:rPr>
          <w:i/>
          <w:iCs/>
        </w:rPr>
      </w:pPr>
      <w:r>
        <w:rPr>
          <w:i/>
          <w:iCs/>
        </w:rPr>
        <w:t xml:space="preserve">Coordinate with neighboring units </w:t>
      </w:r>
      <w:r w:rsidR="00C04EF0">
        <w:rPr>
          <w:i/>
          <w:iCs/>
        </w:rPr>
        <w:t>to ensure all areas with similar conditions are addressed with a single F&amp;FBA. For any given area</w:t>
      </w:r>
      <w:r w:rsidR="00F22BA5">
        <w:rPr>
          <w:i/>
          <w:iCs/>
        </w:rPr>
        <w:t xml:space="preserve"> and </w:t>
      </w:r>
      <w:proofErr w:type="gramStart"/>
      <w:r w:rsidR="00F22BA5">
        <w:rPr>
          <w:i/>
          <w:iCs/>
        </w:rPr>
        <w:t>time period</w:t>
      </w:r>
      <w:proofErr w:type="gramEnd"/>
      <w:r w:rsidR="00C04EF0">
        <w:rPr>
          <w:i/>
          <w:iCs/>
        </w:rPr>
        <w:t>, only one F&amp;FBA can be in effect</w:t>
      </w:r>
      <w:r w:rsidR="006637E3">
        <w:rPr>
          <w:i/>
          <w:iCs/>
        </w:rPr>
        <w:t>. If multiple critical conditions exist</w:t>
      </w:r>
      <w:r w:rsidR="000A386F">
        <w:rPr>
          <w:i/>
          <w:iCs/>
        </w:rPr>
        <w:t>, incorporate them into a single F&amp;FBA</w:t>
      </w:r>
      <w:r w:rsidR="00D17C85">
        <w:rPr>
          <w:i/>
          <w:iCs/>
        </w:rPr>
        <w:t>.</w:t>
      </w:r>
      <w:r w:rsidR="00B937E4">
        <w:rPr>
          <w:i/>
          <w:iCs/>
        </w:rPr>
        <w:t xml:space="preserve"> </w:t>
      </w:r>
      <w:r w:rsidR="0043275D">
        <w:rPr>
          <w:i/>
          <w:iCs/>
        </w:rPr>
        <w:t xml:space="preserve">Coordination </w:t>
      </w:r>
      <w:r w:rsidR="003B6122">
        <w:rPr>
          <w:i/>
          <w:iCs/>
        </w:rPr>
        <w:t>via</w:t>
      </w:r>
      <w:r w:rsidR="0043275D">
        <w:rPr>
          <w:i/>
          <w:iCs/>
        </w:rPr>
        <w:t xml:space="preserve"> GACC</w:t>
      </w:r>
      <w:r w:rsidR="009C4774">
        <w:rPr>
          <w:i/>
          <w:iCs/>
        </w:rPr>
        <w:t xml:space="preserve"> is required for any F&amp;FBA that will be posted via the NICC website and announced through the NICC COD.</w:t>
      </w:r>
      <w:r w:rsidR="003B6122">
        <w:rPr>
          <w:i/>
          <w:iCs/>
        </w:rPr>
        <w:t xml:space="preserve"> </w:t>
      </w:r>
      <w:r w:rsidR="00D803EE">
        <w:rPr>
          <w:i/>
          <w:iCs/>
        </w:rPr>
        <w:t>W</w:t>
      </w:r>
      <w:r w:rsidR="00104C97">
        <w:rPr>
          <w:i/>
          <w:iCs/>
        </w:rPr>
        <w:t>hen the area of interest extends into</w:t>
      </w:r>
      <w:r w:rsidR="00D803EE">
        <w:rPr>
          <w:i/>
          <w:iCs/>
        </w:rPr>
        <w:t xml:space="preserve"> more than one GACC, the affected GACCs </w:t>
      </w:r>
      <w:r w:rsidR="00E710D9">
        <w:rPr>
          <w:i/>
          <w:iCs/>
        </w:rPr>
        <w:t>should</w:t>
      </w:r>
      <w:r w:rsidR="00D803EE">
        <w:rPr>
          <w:i/>
          <w:iCs/>
        </w:rPr>
        <w:t xml:space="preserve"> </w:t>
      </w:r>
      <w:r w:rsidR="00837B2F">
        <w:rPr>
          <w:i/>
          <w:iCs/>
        </w:rPr>
        <w:t xml:space="preserve">coordinate to produce a </w:t>
      </w:r>
      <w:r w:rsidR="00CE53A5">
        <w:rPr>
          <w:i/>
          <w:iCs/>
        </w:rPr>
        <w:t>single F&amp;FBA</w:t>
      </w:r>
      <w:r w:rsidR="000A386F">
        <w:rPr>
          <w:i/>
          <w:iCs/>
        </w:rPr>
        <w:t>.</w:t>
      </w:r>
      <w:r w:rsidR="004C562C">
        <w:rPr>
          <w:i/>
          <w:iCs/>
        </w:rPr>
        <w:t xml:space="preserve"> If</w:t>
      </w:r>
      <w:r w:rsidR="00185374">
        <w:rPr>
          <w:i/>
          <w:iCs/>
        </w:rPr>
        <w:t xml:space="preserve"> the F&amp;FBA is intended for posting/distribution via NICC, </w:t>
      </w:r>
      <w:r w:rsidR="00E30156">
        <w:rPr>
          <w:i/>
          <w:iCs/>
        </w:rPr>
        <w:t xml:space="preserve">let the NICC Predictive Service staff know in advance and </w:t>
      </w:r>
      <w:r w:rsidR="00161689">
        <w:rPr>
          <w:i/>
          <w:iCs/>
        </w:rPr>
        <w:t>budget time for them to review and post</w:t>
      </w:r>
      <w:r w:rsidR="00B572B7">
        <w:rPr>
          <w:i/>
          <w:iCs/>
        </w:rPr>
        <w:t>/announce.</w:t>
      </w:r>
    </w:p>
    <w:p w14:paraId="0902FD6E" w14:textId="2A0C8CBC" w:rsidR="000A2772" w:rsidRDefault="000A2772" w:rsidP="00821F62">
      <w:pPr>
        <w:ind w:left="360"/>
        <w:jc w:val="both"/>
        <w:rPr>
          <w:i/>
          <w:iCs/>
        </w:rPr>
      </w:pPr>
      <w:r>
        <w:rPr>
          <w:i/>
          <w:iCs/>
        </w:rPr>
        <w:t xml:space="preserve">Each F&amp;FBA will remain in effect for 14 days from </w:t>
      </w:r>
      <w:r w:rsidR="00814D94">
        <w:rPr>
          <w:i/>
          <w:iCs/>
        </w:rPr>
        <w:t>the date of issuance</w:t>
      </w:r>
      <w:r w:rsidR="00821C34">
        <w:rPr>
          <w:i/>
          <w:iCs/>
        </w:rPr>
        <w:t xml:space="preserve"> but can be discontinued sooner</w:t>
      </w:r>
      <w:r w:rsidR="00AA2288">
        <w:rPr>
          <w:i/>
          <w:iCs/>
        </w:rPr>
        <w:t xml:space="preserve"> at the request of the issuer(s)</w:t>
      </w:r>
      <w:r w:rsidR="00814D94">
        <w:rPr>
          <w:i/>
          <w:iCs/>
        </w:rPr>
        <w:t>. I</w:t>
      </w:r>
      <w:r w:rsidR="006B37A1">
        <w:rPr>
          <w:i/>
          <w:iCs/>
        </w:rPr>
        <w:t xml:space="preserve">f conditions persist, </w:t>
      </w:r>
      <w:r w:rsidR="00C319AE">
        <w:rPr>
          <w:i/>
          <w:iCs/>
        </w:rPr>
        <w:t xml:space="preserve">the F&amp;FBA </w:t>
      </w:r>
      <w:r w:rsidR="00485020">
        <w:rPr>
          <w:i/>
          <w:iCs/>
        </w:rPr>
        <w:t xml:space="preserve">should be updated </w:t>
      </w:r>
      <w:r w:rsidR="00C319AE">
        <w:rPr>
          <w:i/>
          <w:iCs/>
        </w:rPr>
        <w:t xml:space="preserve">every 14 days </w:t>
      </w:r>
      <w:r w:rsidR="006D7399">
        <w:rPr>
          <w:i/>
          <w:iCs/>
        </w:rPr>
        <w:t xml:space="preserve">to </w:t>
      </w:r>
      <w:r w:rsidR="00485020">
        <w:rPr>
          <w:i/>
          <w:iCs/>
        </w:rPr>
        <w:t xml:space="preserve">ensure content </w:t>
      </w:r>
      <w:r w:rsidR="00821C34">
        <w:rPr>
          <w:i/>
          <w:iCs/>
        </w:rPr>
        <w:t>remain</w:t>
      </w:r>
      <w:r w:rsidR="00485020">
        <w:rPr>
          <w:i/>
          <w:iCs/>
        </w:rPr>
        <w:t>s current</w:t>
      </w:r>
      <w:r w:rsidR="006D7399">
        <w:rPr>
          <w:i/>
          <w:iCs/>
        </w:rPr>
        <w:t xml:space="preserve">. </w:t>
      </w:r>
      <w:r w:rsidR="00D23935">
        <w:rPr>
          <w:i/>
          <w:iCs/>
        </w:rPr>
        <w:t>T</w:t>
      </w:r>
      <w:r w:rsidR="00432106">
        <w:rPr>
          <w:i/>
          <w:iCs/>
        </w:rPr>
        <w:t>he GACC and NICC PS staff</w:t>
      </w:r>
      <w:r w:rsidR="00D23935">
        <w:rPr>
          <w:i/>
          <w:iCs/>
        </w:rPr>
        <w:t xml:space="preserve"> can </w:t>
      </w:r>
      <w:r w:rsidR="001D3EB4">
        <w:rPr>
          <w:i/>
          <w:iCs/>
        </w:rPr>
        <w:t>s</w:t>
      </w:r>
      <w:r w:rsidR="009A633C">
        <w:rPr>
          <w:i/>
          <w:iCs/>
        </w:rPr>
        <w:t xml:space="preserve">top hosting any F&amp;FBA that </w:t>
      </w:r>
      <w:r w:rsidR="00A9617A">
        <w:rPr>
          <w:i/>
          <w:iCs/>
        </w:rPr>
        <w:t xml:space="preserve">has not been properly updated or if </w:t>
      </w:r>
      <w:r w:rsidR="0066786D">
        <w:rPr>
          <w:i/>
          <w:iCs/>
        </w:rPr>
        <w:t xml:space="preserve">the elevated </w:t>
      </w:r>
      <w:r w:rsidR="00A9617A">
        <w:rPr>
          <w:i/>
          <w:iCs/>
        </w:rPr>
        <w:t xml:space="preserve">conditions </w:t>
      </w:r>
      <w:r w:rsidR="0003265E">
        <w:rPr>
          <w:i/>
          <w:iCs/>
        </w:rPr>
        <w:t>abate significantly</w:t>
      </w:r>
      <w:r w:rsidR="00432106">
        <w:rPr>
          <w:i/>
          <w:iCs/>
        </w:rPr>
        <w:t>.</w:t>
      </w:r>
    </w:p>
    <w:p w14:paraId="25D4DBDB" w14:textId="6B383FBF" w:rsidR="00245B0E" w:rsidRDefault="00D40720" w:rsidP="00821F62">
      <w:pPr>
        <w:ind w:left="360"/>
        <w:jc w:val="both"/>
        <w:rPr>
          <w:i/>
          <w:iCs/>
        </w:rPr>
      </w:pPr>
      <w:r>
        <w:rPr>
          <w:i/>
          <w:iCs/>
        </w:rPr>
        <w:t xml:space="preserve">The red and white striped border </w:t>
      </w:r>
      <w:r w:rsidR="00062778">
        <w:rPr>
          <w:i/>
          <w:iCs/>
        </w:rPr>
        <w:t>is required</w:t>
      </w:r>
      <w:r w:rsidR="00203F2B">
        <w:rPr>
          <w:i/>
          <w:iCs/>
        </w:rPr>
        <w:t>. I</w:t>
      </w:r>
      <w:r w:rsidR="001C5863">
        <w:rPr>
          <w:i/>
          <w:iCs/>
        </w:rPr>
        <w:t xml:space="preserve">t is best to keep it applied as </w:t>
      </w:r>
      <w:r w:rsidR="00BD1019">
        <w:rPr>
          <w:i/>
          <w:iCs/>
        </w:rPr>
        <w:t>a watermark</w:t>
      </w:r>
      <w:r w:rsidR="00AA49EB">
        <w:rPr>
          <w:i/>
          <w:iCs/>
        </w:rPr>
        <w:t xml:space="preserve"> in </w:t>
      </w:r>
      <w:r w:rsidR="00203F2B">
        <w:rPr>
          <w:i/>
          <w:iCs/>
        </w:rPr>
        <w:t xml:space="preserve">Microsoft </w:t>
      </w:r>
      <w:r w:rsidR="00AA49EB">
        <w:rPr>
          <w:i/>
          <w:iCs/>
        </w:rPr>
        <w:t>Word</w:t>
      </w:r>
      <w:r w:rsidR="00BD1019">
        <w:rPr>
          <w:i/>
          <w:iCs/>
        </w:rPr>
        <w:t xml:space="preserve"> </w:t>
      </w:r>
      <w:r w:rsidR="00476F5C">
        <w:rPr>
          <w:i/>
          <w:iCs/>
        </w:rPr>
        <w:t xml:space="preserve">to maximize the properties </w:t>
      </w:r>
      <w:r w:rsidR="006703D8">
        <w:rPr>
          <w:i/>
          <w:iCs/>
        </w:rPr>
        <w:t>that can be applied to</w:t>
      </w:r>
      <w:r w:rsidR="00BD1019">
        <w:rPr>
          <w:i/>
          <w:iCs/>
        </w:rPr>
        <w:t xml:space="preserve"> </w:t>
      </w:r>
      <w:r w:rsidR="005E0C0F">
        <w:rPr>
          <w:i/>
          <w:iCs/>
        </w:rPr>
        <w:t>other document elements</w:t>
      </w:r>
      <w:r w:rsidR="000E4F4E">
        <w:rPr>
          <w:i/>
          <w:iCs/>
        </w:rPr>
        <w:t xml:space="preserve"> </w:t>
      </w:r>
      <w:r w:rsidR="000E4F4E">
        <w:rPr>
          <w:i/>
          <w:iCs/>
        </w:rPr>
        <w:t>(e.g. text wrapping around images, multiple columns for bulleted lists, added text boxes)</w:t>
      </w:r>
      <w:r w:rsidR="007A0D64">
        <w:rPr>
          <w:i/>
          <w:iCs/>
        </w:rPr>
        <w:t>.</w:t>
      </w:r>
      <w:r w:rsidR="00FD4BF2">
        <w:rPr>
          <w:i/>
          <w:iCs/>
        </w:rPr>
        <w:t xml:space="preserve"> Recommend retaining the Predictive Services logo, and adding </w:t>
      </w:r>
      <w:r w:rsidR="00A229A9">
        <w:rPr>
          <w:i/>
          <w:iCs/>
        </w:rPr>
        <w:t>the GACC logo if desired, for any F&amp;FBA coordinated via the GACC(s)</w:t>
      </w:r>
      <w:r w:rsidR="00C2782E">
        <w:rPr>
          <w:i/>
          <w:iCs/>
        </w:rPr>
        <w:t>. L</w:t>
      </w:r>
      <w:r w:rsidR="00536EC7">
        <w:rPr>
          <w:i/>
          <w:iCs/>
        </w:rPr>
        <w:t xml:space="preserve">ogo(s) can be moved </w:t>
      </w:r>
      <w:r w:rsidR="00F64FBE">
        <w:rPr>
          <w:i/>
          <w:iCs/>
        </w:rPr>
        <w:t>elsewhere in the document if desired</w:t>
      </w:r>
      <w:r w:rsidR="00A229A9">
        <w:rPr>
          <w:i/>
          <w:iCs/>
        </w:rPr>
        <w:t>.</w:t>
      </w:r>
      <w:r w:rsidR="006F7CF9">
        <w:rPr>
          <w:i/>
          <w:iCs/>
        </w:rPr>
        <w:t xml:space="preserve"> Smaller fonts may be used for subordinate text </w:t>
      </w:r>
      <w:r w:rsidR="000E5FED">
        <w:rPr>
          <w:i/>
          <w:iCs/>
        </w:rPr>
        <w:t xml:space="preserve">such as bulleted lists, but main narrative sections should retain this template’s font </w:t>
      </w:r>
      <w:r w:rsidR="00321BF1">
        <w:rPr>
          <w:i/>
          <w:iCs/>
        </w:rPr>
        <w:t>size and styles.</w:t>
      </w:r>
    </w:p>
    <w:p w14:paraId="58A42160" w14:textId="08616820" w:rsidR="00241569" w:rsidRDefault="004D71EC" w:rsidP="00821F62">
      <w:pPr>
        <w:ind w:left="360"/>
        <w:jc w:val="both"/>
        <w:rPr>
          <w:i/>
          <w:iCs/>
        </w:rPr>
      </w:pPr>
      <w:r>
        <w:rPr>
          <w:i/>
          <w:iCs/>
        </w:rPr>
        <w:t xml:space="preserve">Once the draft F&amp;FBA has been reviewed and approved, convert it to pdf format and </w:t>
      </w:r>
      <w:r w:rsidR="00516EC3">
        <w:rPr>
          <w:i/>
          <w:iCs/>
        </w:rPr>
        <w:t>u</w:t>
      </w:r>
      <w:r w:rsidR="00241569">
        <w:rPr>
          <w:i/>
          <w:iCs/>
        </w:rPr>
        <w:t>se this file naming convention: Fuels</w:t>
      </w:r>
      <w:r w:rsidR="009761EB">
        <w:rPr>
          <w:i/>
          <w:iCs/>
        </w:rPr>
        <w:t>-</w:t>
      </w:r>
      <w:r w:rsidR="00241569">
        <w:rPr>
          <w:i/>
          <w:iCs/>
        </w:rPr>
        <w:t>Fire</w:t>
      </w:r>
      <w:r w:rsidR="009761EB">
        <w:rPr>
          <w:i/>
          <w:iCs/>
        </w:rPr>
        <w:t>-</w:t>
      </w:r>
      <w:r w:rsidR="00241569">
        <w:rPr>
          <w:i/>
          <w:iCs/>
        </w:rPr>
        <w:t>Behavior</w:t>
      </w:r>
      <w:r w:rsidR="009761EB">
        <w:rPr>
          <w:i/>
          <w:iCs/>
        </w:rPr>
        <w:t>-</w:t>
      </w:r>
      <w:r w:rsidR="00241569">
        <w:rPr>
          <w:i/>
          <w:iCs/>
        </w:rPr>
        <w:t>Advisory_</w:t>
      </w:r>
      <w:r w:rsidR="007B2E17">
        <w:rPr>
          <w:i/>
          <w:iCs/>
        </w:rPr>
        <w:t>Area-of-Interest_YYYYMMDD</w:t>
      </w:r>
      <w:r>
        <w:rPr>
          <w:i/>
          <w:iCs/>
        </w:rPr>
        <w:t>.pdf.</w:t>
      </w:r>
      <w:r w:rsidR="00FE7AA2">
        <w:rPr>
          <w:i/>
          <w:iCs/>
        </w:rPr>
        <w:t xml:space="preserve"> </w:t>
      </w:r>
      <w:r w:rsidR="00881B3D">
        <w:rPr>
          <w:i/>
          <w:iCs/>
        </w:rPr>
        <w:t xml:space="preserve">For any F&amp;FBA posted on the NICC website, the </w:t>
      </w:r>
      <w:r w:rsidR="00CD4D21">
        <w:rPr>
          <w:i/>
          <w:iCs/>
        </w:rPr>
        <w:t>source GACC(s) and other affected entities may either link to the NICC posting, or post their own local copy</w:t>
      </w:r>
      <w:r w:rsidR="005C64B9">
        <w:rPr>
          <w:i/>
          <w:iCs/>
        </w:rPr>
        <w:t xml:space="preserve"> of the F&amp;FBA; however, care must be taken to ensure that all websites </w:t>
      </w:r>
      <w:r w:rsidR="002664E1">
        <w:rPr>
          <w:i/>
          <w:iCs/>
        </w:rPr>
        <w:t xml:space="preserve">offer the same version of the document and </w:t>
      </w:r>
      <w:r w:rsidR="00764921">
        <w:rPr>
          <w:i/>
          <w:iCs/>
        </w:rPr>
        <w:t>promptly remove their posting when the F&amp;FBA is discontinued.</w:t>
      </w:r>
    </w:p>
    <w:sectPr w:rsidR="00241569" w:rsidSect="006849A9">
      <w:headerReference w:type="even" r:id="rId8"/>
      <w:headerReference w:type="default" r:id="rId9"/>
      <w:headerReference w:type="first" r:id="rId10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8B131" w14:textId="77777777" w:rsidR="00C60816" w:rsidRDefault="00C60816" w:rsidP="006849A9">
      <w:pPr>
        <w:spacing w:after="0" w:line="240" w:lineRule="auto"/>
      </w:pPr>
      <w:r>
        <w:separator/>
      </w:r>
    </w:p>
  </w:endnote>
  <w:endnote w:type="continuationSeparator" w:id="0">
    <w:p w14:paraId="57E90804" w14:textId="77777777" w:rsidR="00C60816" w:rsidRDefault="00C60816" w:rsidP="0068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5146A" w14:textId="77777777" w:rsidR="00C60816" w:rsidRDefault="00C60816" w:rsidP="006849A9">
      <w:pPr>
        <w:spacing w:after="0" w:line="240" w:lineRule="auto"/>
      </w:pPr>
      <w:r>
        <w:separator/>
      </w:r>
    </w:p>
  </w:footnote>
  <w:footnote w:type="continuationSeparator" w:id="0">
    <w:p w14:paraId="49B94D6B" w14:textId="77777777" w:rsidR="00C60816" w:rsidRDefault="00C60816" w:rsidP="00684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613E7" w14:textId="083BE518" w:rsidR="006849A9" w:rsidRDefault="00000000">
    <w:pPr>
      <w:pStyle w:val="Header"/>
    </w:pPr>
    <w:r>
      <w:rPr>
        <w:noProof/>
      </w:rPr>
      <w:pict w14:anchorId="7CD08A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26563" o:spid="_x0000_s1026" type="#_x0000_t75" style="position:absolute;margin-left:0;margin-top:0;width:591.7pt;height:763.4pt;z-index:-251657216;mso-position-horizontal:center;mso-position-horizontal-relative:margin;mso-position-vertical:center;mso-position-vertical-relative:margin" o:allowincell="f">
          <v:imagedata r:id="rId1" o:title="RedWhite_SDL02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48082" w14:textId="6753E255" w:rsidR="006849A9" w:rsidRDefault="00000000">
    <w:pPr>
      <w:pStyle w:val="Header"/>
    </w:pPr>
    <w:r>
      <w:rPr>
        <w:noProof/>
      </w:rPr>
      <w:pict w14:anchorId="181EBC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26564" o:spid="_x0000_s1027" type="#_x0000_t75" style="position:absolute;margin-left:0;margin-top:0;width:591.7pt;height:763.4pt;z-index:-251656192;mso-position-horizontal:center;mso-position-horizontal-relative:margin;mso-position-vertical:center;mso-position-vertical-relative:margin" o:allowincell="f">
          <v:imagedata r:id="rId1" o:title="RedWhite_SDL02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F4B5F" w14:textId="6B24B48D" w:rsidR="006849A9" w:rsidRDefault="00000000">
    <w:pPr>
      <w:pStyle w:val="Header"/>
    </w:pPr>
    <w:r>
      <w:rPr>
        <w:noProof/>
      </w:rPr>
      <w:pict w14:anchorId="7A2F6B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26562" o:spid="_x0000_s1025" type="#_x0000_t75" style="position:absolute;margin-left:0;margin-top:0;width:591.7pt;height:763.4pt;z-index:-251658240;mso-position-horizontal:center;mso-position-horizontal-relative:margin;mso-position-vertical:center;mso-position-vertical-relative:margin" o:allowincell="f">
          <v:imagedata r:id="rId1" o:title="RedWhite_SDL02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24945"/>
    <w:multiLevelType w:val="hybridMultilevel"/>
    <w:tmpl w:val="A08A37BC"/>
    <w:lvl w:ilvl="0" w:tplc="91260C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00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A9"/>
    <w:rsid w:val="00026608"/>
    <w:rsid w:val="0003265E"/>
    <w:rsid w:val="00037168"/>
    <w:rsid w:val="00062605"/>
    <w:rsid w:val="00062778"/>
    <w:rsid w:val="00065238"/>
    <w:rsid w:val="00081D2C"/>
    <w:rsid w:val="000869A0"/>
    <w:rsid w:val="000A2772"/>
    <w:rsid w:val="000A386F"/>
    <w:rsid w:val="000E4F4E"/>
    <w:rsid w:val="000E5FED"/>
    <w:rsid w:val="00104C97"/>
    <w:rsid w:val="0011445D"/>
    <w:rsid w:val="00155111"/>
    <w:rsid w:val="00161689"/>
    <w:rsid w:val="001642F5"/>
    <w:rsid w:val="0018223B"/>
    <w:rsid w:val="00185374"/>
    <w:rsid w:val="00193774"/>
    <w:rsid w:val="001B7D77"/>
    <w:rsid w:val="001C5863"/>
    <w:rsid w:val="001D3629"/>
    <w:rsid w:val="001D3EB4"/>
    <w:rsid w:val="00200271"/>
    <w:rsid w:val="00202D82"/>
    <w:rsid w:val="00203F2B"/>
    <w:rsid w:val="00223A86"/>
    <w:rsid w:val="00224F9D"/>
    <w:rsid w:val="00241569"/>
    <w:rsid w:val="00245B0E"/>
    <w:rsid w:val="00264387"/>
    <w:rsid w:val="002664E1"/>
    <w:rsid w:val="00294752"/>
    <w:rsid w:val="002A6EFA"/>
    <w:rsid w:val="002A71AE"/>
    <w:rsid w:val="002C15A0"/>
    <w:rsid w:val="002C2CF7"/>
    <w:rsid w:val="002C3D21"/>
    <w:rsid w:val="002F29A9"/>
    <w:rsid w:val="00306F17"/>
    <w:rsid w:val="00321BF1"/>
    <w:rsid w:val="00322689"/>
    <w:rsid w:val="00324094"/>
    <w:rsid w:val="00324AF8"/>
    <w:rsid w:val="00325E7D"/>
    <w:rsid w:val="00350BCE"/>
    <w:rsid w:val="003821C5"/>
    <w:rsid w:val="003B6122"/>
    <w:rsid w:val="003C4F0A"/>
    <w:rsid w:val="003E07C7"/>
    <w:rsid w:val="003E3C87"/>
    <w:rsid w:val="003F6DCC"/>
    <w:rsid w:val="004114B0"/>
    <w:rsid w:val="00432106"/>
    <w:rsid w:val="0043275D"/>
    <w:rsid w:val="004366BF"/>
    <w:rsid w:val="004379B6"/>
    <w:rsid w:val="00455871"/>
    <w:rsid w:val="00457842"/>
    <w:rsid w:val="00464918"/>
    <w:rsid w:val="00470641"/>
    <w:rsid w:val="00476F5C"/>
    <w:rsid w:val="00485020"/>
    <w:rsid w:val="004B56F2"/>
    <w:rsid w:val="004C562C"/>
    <w:rsid w:val="004C7CA9"/>
    <w:rsid w:val="004D71EC"/>
    <w:rsid w:val="005156C0"/>
    <w:rsid w:val="00516EC3"/>
    <w:rsid w:val="00536EC7"/>
    <w:rsid w:val="00555EF9"/>
    <w:rsid w:val="005564B7"/>
    <w:rsid w:val="00564724"/>
    <w:rsid w:val="005952ED"/>
    <w:rsid w:val="005B4958"/>
    <w:rsid w:val="005B4B8C"/>
    <w:rsid w:val="005C64B9"/>
    <w:rsid w:val="005E0C0F"/>
    <w:rsid w:val="005E1F16"/>
    <w:rsid w:val="006628FC"/>
    <w:rsid w:val="006637E3"/>
    <w:rsid w:val="00663974"/>
    <w:rsid w:val="0066786D"/>
    <w:rsid w:val="006703D8"/>
    <w:rsid w:val="006849A9"/>
    <w:rsid w:val="006934E2"/>
    <w:rsid w:val="006A6E12"/>
    <w:rsid w:val="006B37A1"/>
    <w:rsid w:val="006C5BD8"/>
    <w:rsid w:val="006D4180"/>
    <w:rsid w:val="006D7399"/>
    <w:rsid w:val="006D79AC"/>
    <w:rsid w:val="006F4BED"/>
    <w:rsid w:val="006F7CF9"/>
    <w:rsid w:val="007041E7"/>
    <w:rsid w:val="00714EE3"/>
    <w:rsid w:val="00741C8F"/>
    <w:rsid w:val="0075290A"/>
    <w:rsid w:val="007616B3"/>
    <w:rsid w:val="00764921"/>
    <w:rsid w:val="00764954"/>
    <w:rsid w:val="007A0D64"/>
    <w:rsid w:val="007B2E17"/>
    <w:rsid w:val="007B3E14"/>
    <w:rsid w:val="00814D94"/>
    <w:rsid w:val="00816D2E"/>
    <w:rsid w:val="00821C34"/>
    <w:rsid w:val="00821F62"/>
    <w:rsid w:val="00837B2F"/>
    <w:rsid w:val="00840EEB"/>
    <w:rsid w:val="0085606D"/>
    <w:rsid w:val="008670BB"/>
    <w:rsid w:val="008745A5"/>
    <w:rsid w:val="00881B3D"/>
    <w:rsid w:val="00891A66"/>
    <w:rsid w:val="008A7AEB"/>
    <w:rsid w:val="008F477E"/>
    <w:rsid w:val="00921021"/>
    <w:rsid w:val="0093641D"/>
    <w:rsid w:val="00954470"/>
    <w:rsid w:val="009613E8"/>
    <w:rsid w:val="00961A85"/>
    <w:rsid w:val="009761EB"/>
    <w:rsid w:val="009849CC"/>
    <w:rsid w:val="009A633C"/>
    <w:rsid w:val="009C4774"/>
    <w:rsid w:val="009F2184"/>
    <w:rsid w:val="00A140DD"/>
    <w:rsid w:val="00A229A9"/>
    <w:rsid w:val="00A2682D"/>
    <w:rsid w:val="00A66642"/>
    <w:rsid w:val="00A66D39"/>
    <w:rsid w:val="00A9617A"/>
    <w:rsid w:val="00AA2288"/>
    <w:rsid w:val="00AA49EB"/>
    <w:rsid w:val="00AA6E6F"/>
    <w:rsid w:val="00AB177A"/>
    <w:rsid w:val="00B03FA0"/>
    <w:rsid w:val="00B069E7"/>
    <w:rsid w:val="00B2145A"/>
    <w:rsid w:val="00B218D9"/>
    <w:rsid w:val="00B4318E"/>
    <w:rsid w:val="00B572B7"/>
    <w:rsid w:val="00B937E4"/>
    <w:rsid w:val="00BD1019"/>
    <w:rsid w:val="00BE05E3"/>
    <w:rsid w:val="00C03B2F"/>
    <w:rsid w:val="00C04EF0"/>
    <w:rsid w:val="00C12437"/>
    <w:rsid w:val="00C25135"/>
    <w:rsid w:val="00C2782E"/>
    <w:rsid w:val="00C278B1"/>
    <w:rsid w:val="00C319AE"/>
    <w:rsid w:val="00C3689F"/>
    <w:rsid w:val="00C60816"/>
    <w:rsid w:val="00C66C84"/>
    <w:rsid w:val="00C71225"/>
    <w:rsid w:val="00C909CD"/>
    <w:rsid w:val="00C90EBB"/>
    <w:rsid w:val="00CD4D21"/>
    <w:rsid w:val="00CE1AB4"/>
    <w:rsid w:val="00CE53A5"/>
    <w:rsid w:val="00D17C85"/>
    <w:rsid w:val="00D23935"/>
    <w:rsid w:val="00D30A5E"/>
    <w:rsid w:val="00D32B9F"/>
    <w:rsid w:val="00D40720"/>
    <w:rsid w:val="00D54B0B"/>
    <w:rsid w:val="00D61EDC"/>
    <w:rsid w:val="00D70557"/>
    <w:rsid w:val="00D75C50"/>
    <w:rsid w:val="00D803EE"/>
    <w:rsid w:val="00DE4707"/>
    <w:rsid w:val="00DE55E8"/>
    <w:rsid w:val="00DF778D"/>
    <w:rsid w:val="00E30156"/>
    <w:rsid w:val="00E710D9"/>
    <w:rsid w:val="00E71394"/>
    <w:rsid w:val="00E716BB"/>
    <w:rsid w:val="00E809FF"/>
    <w:rsid w:val="00E94737"/>
    <w:rsid w:val="00EB32FC"/>
    <w:rsid w:val="00EE5987"/>
    <w:rsid w:val="00F179AA"/>
    <w:rsid w:val="00F17F74"/>
    <w:rsid w:val="00F22874"/>
    <w:rsid w:val="00F22BA5"/>
    <w:rsid w:val="00F33806"/>
    <w:rsid w:val="00F612FB"/>
    <w:rsid w:val="00F64FBE"/>
    <w:rsid w:val="00F86949"/>
    <w:rsid w:val="00F917DC"/>
    <w:rsid w:val="00FA5BA6"/>
    <w:rsid w:val="00FD4BF2"/>
    <w:rsid w:val="00FD775B"/>
    <w:rsid w:val="00FE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CE2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4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9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9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9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9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9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9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9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84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9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9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9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9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9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9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9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4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4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9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4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4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49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49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49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9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49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4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9A9"/>
  </w:style>
  <w:style w:type="paragraph" w:styleId="Footer">
    <w:name w:val="footer"/>
    <w:basedOn w:val="Normal"/>
    <w:link w:val="FooterChar"/>
    <w:uiPriority w:val="99"/>
    <w:unhideWhenUsed/>
    <w:rsid w:val="00684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2025-06-10T14:42:00Z</dcterms:created>
  <dcterms:modified xsi:type="dcterms:W3CDTF">2025-06-10T14:43:00Z</dcterms:modified>
</cp:coreProperties>
</file>